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Jueves, 19 de mayo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spacing w:before="100" w:beforeAutospacing="1" w:after="100" w:afterAutospacing="1"/>
        <w:outlineLvl w:val="0"/>
        <w:rPr>
          <w:rFonts w:ascii="Verdana" w:hAnsi="Verdana"/>
          <w:b/>
          <w:bCs/>
          <w:kern w:val="36"/>
          <w:sz w:val="52"/>
          <w:szCs w:val="52"/>
        </w:rPr>
      </w:pPr>
      <w:r>
        <w:rPr>
          <w:rFonts w:ascii="Verdana" w:hAnsi="Verdana"/>
          <w:b/>
          <w:bCs/>
          <w:kern w:val="36"/>
          <w:sz w:val="52"/>
          <w:szCs w:val="52"/>
        </w:rPr>
        <w:t>El Ayuntamiento se iluminó de violeta para visibilizar el Día Mundial de las Enfermedades Inflamatorias Intestinales</w:t>
      </w:r>
    </w:p>
    <w:p>
      <w:pPr>
        <w:spacing w:before="100" w:beforeAutospacing="1" w:after="100" w:afterAutospacing="1"/>
        <w:jc w:val="both"/>
        <w:rPr>
          <w:rStyle w:val="d2edcug0"/>
          <w:rFonts w:ascii="Verdana" w:hAnsi="Verdana"/>
          <w:sz w:val="28"/>
          <w:szCs w:val="28"/>
        </w:rPr>
      </w:pPr>
      <w:r>
        <w:rPr>
          <w:rFonts w:ascii="Verdana" w:hAnsi="Verdana"/>
          <w:sz w:val="28"/>
          <w:szCs w:val="28"/>
        </w:rPr>
        <w:t xml:space="preserve">Hoy jueves 19 de mayo se celebra en más de 40 países el Día Mundial de las Enfermedades Inflamatorias Intestinales (EII).Por este motivo, el Ayuntamiento se iluminó de violeta para sumarse así a la iniciativa de la </w:t>
      </w:r>
      <w:r>
        <w:rPr>
          <w:rStyle w:val="d2edcug0"/>
          <w:rFonts w:ascii="Verdana" w:hAnsi="Verdana"/>
          <w:sz w:val="28"/>
          <w:szCs w:val="28"/>
        </w:rPr>
        <w:t>Asociación Canaria de Enfermos y Familiares de la Enfermedad Inflamatoria Intestinal y Ostomía(ACEIIO) y visibilizar con ello estas enfermedades.</w:t>
      </w:r>
    </w:p>
    <w:p>
      <w:pPr>
        <w:spacing w:before="100" w:beforeAutospacing="1" w:after="100" w:afterAutospacing="1"/>
        <w:jc w:val="both"/>
        <w:rPr>
          <w:rFonts w:ascii="Verdana" w:hAnsi="Verdana"/>
          <w:sz w:val="28"/>
          <w:szCs w:val="28"/>
        </w:rPr>
      </w:pPr>
      <w:r>
        <w:rPr>
          <w:rFonts w:ascii="Verdana" w:hAnsi="Verdana"/>
          <w:sz w:val="28"/>
          <w:szCs w:val="28"/>
        </w:rPr>
        <w:t xml:space="preserve">La enfermedad inflamatoria intestinal (EII) engloba dos patologías, la colitis ulcerosa y la enfermedad de Crohn. En España, la colitis ulcerosa es más frecuente que la enfermedad de Crohn, 58% frente al 42%, y se espera que esta diferencia aumente ligeramente en los próximos años. Las dos se caracterizan por ser </w:t>
      </w:r>
      <w:r>
        <w:rPr>
          <w:rFonts w:ascii="Verdana" w:hAnsi="Verdana"/>
          <w:b/>
          <w:bCs/>
          <w:sz w:val="28"/>
          <w:szCs w:val="28"/>
        </w:rPr>
        <w:t>enfermedades del intestino</w:t>
      </w:r>
      <w:r>
        <w:rPr>
          <w:rFonts w:ascii="Verdana" w:hAnsi="Verdana"/>
          <w:sz w:val="28"/>
          <w:szCs w:val="28"/>
        </w:rPr>
        <w:t xml:space="preserve"> esencialmente, inmunomediadas, inflamatorias y crónicas, que evolucionan en brotes (fases activas) y periodos de remisión (fases inactivas).</w:t>
      </w:r>
    </w:p>
    <w:p>
      <w:pPr>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2022-05-19T09:10:00Z</dcterms:created>
  <dcterms:modified xsi:type="dcterms:W3CDTF">2022-05-19T09:10:00Z</dcterms:modified>
</cp:coreProperties>
</file>